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>
          <w:rFonts w:ascii="Open Sans" w:cs="Open Sans" w:eastAsia="Open Sans" w:hAnsi="Open Sans"/>
          <w:b w:val="1"/>
          <w:sz w:val="21"/>
          <w:szCs w:val="21"/>
        </w:rPr>
      </w:pPr>
      <w:bookmarkStart w:colFirst="0" w:colLast="0" w:name="_hy3hqjt4giae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5"/>
          <w:szCs w:val="45"/>
          <w:rtl w:val="0"/>
        </w:rPr>
        <w:t xml:space="preserve">Reading Questions – Guest Speaker Sara Sadhwani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420" w:before="0" w:lineRule="auto"/>
        <w:rPr/>
      </w:pPr>
      <w:bookmarkStart w:colFirst="0" w:colLast="0" w:name="_h1e7lgtca3kf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Read "Chapter 12: Explainer: Communities of Interest" and "Chapter 18: Making Maps" of Political Geometry. Look up the California Citizens Redistricting Commission. Come up with questions for our guest speaker - Sara Sadhwani, Assistant Professor of Politics at Pomona College, and member of the 2020 California Citizens Redistricting Commission.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